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t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t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t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цифровых финансовых активах, цифровой валюте и о внесении изменений в отдельные законодательные акты Российской Федерации"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в связи с принятием Федерального закона </w:t>
      </w:r>
      <w:r>
        <w:rPr>
          <w:rStyle w:val="cmd"/>
          <w:color w:val="333333"/>
          <w:sz w:val="27"/>
          <w:szCs w:val="27"/>
        </w:rPr>
        <w:t>от 31 июля 2020 г. № 259-ФЗ</w:t>
      </w:r>
      <w:r>
        <w:rPr>
          <w:color w:val="333333"/>
          <w:sz w:val="27"/>
          <w:szCs w:val="27"/>
        </w:rPr>
        <w:t xml:space="preserve"> "О цифровых финансовых активах, цифровой валюте и о внесении изменений в отдельные закон</w:t>
      </w:r>
      <w:r>
        <w:rPr>
          <w:color w:val="333333"/>
          <w:sz w:val="27"/>
          <w:szCs w:val="27"/>
        </w:rPr>
        <w:t>одательные акты Российской Федерации" постановляю: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Установить, что с 1 января по 30 июня 2021 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</w:t>
      </w:r>
      <w:r>
        <w:rPr>
          <w:color w:val="333333"/>
          <w:sz w:val="27"/>
          <w:szCs w:val="27"/>
        </w:rPr>
        <w:t xml:space="preserve">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</w:t>
      </w:r>
      <w:r>
        <w:rPr>
          <w:color w:val="333333"/>
          <w:sz w:val="27"/>
          <w:szCs w:val="27"/>
        </w:rPr>
        <w:t>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</w:t>
      </w:r>
      <w:r>
        <w:rPr>
          <w:color w:val="333333"/>
          <w:sz w:val="27"/>
          <w:szCs w:val="27"/>
        </w:rPr>
        <w:t xml:space="preserve">ента Российской Федерации </w:t>
      </w:r>
      <w:r>
        <w:rPr>
          <w:rStyle w:val="cmd"/>
          <w:color w:val="333333"/>
          <w:sz w:val="27"/>
          <w:szCs w:val="27"/>
        </w:rPr>
        <w:t>от 23 июня 2014 г. № 460</w:t>
      </w:r>
      <w:r>
        <w:rPr>
          <w:color w:val="333333"/>
          <w:sz w:val="27"/>
          <w:szCs w:val="27"/>
        </w:rPr>
        <w:t xml:space="preserve">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</w:t>
      </w:r>
      <w:r>
        <w:rPr>
          <w:color w:val="333333"/>
          <w:sz w:val="27"/>
          <w:szCs w:val="27"/>
        </w:rPr>
        <w:t xml:space="preserve">принадлежащих им, их супругам и несовершеннолетним детям цифровых </w:t>
      </w:r>
      <w:r>
        <w:rPr>
          <w:color w:val="333333"/>
          <w:sz w:val="27"/>
          <w:szCs w:val="27"/>
        </w:rPr>
        <w:lastRenderedPageBreak/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</w:t>
      </w:r>
      <w:r>
        <w:rPr>
          <w:color w:val="333333"/>
          <w:sz w:val="27"/>
          <w:szCs w:val="27"/>
        </w:rPr>
        <w:t>о приложению № 1.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Уведомление, предусмотренное пунктом 1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</w:t>
      </w:r>
      <w:r>
        <w:rPr>
          <w:color w:val="333333"/>
          <w:sz w:val="27"/>
          <w:szCs w:val="27"/>
        </w:rPr>
        <w:t>аконами не установлены иные порядок и формы представления соответствующих сведений.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Уведомление, предусмотренное пунктом 1 настоящего Указа, представляется по состоянию на первое число месяца, предшествующего месяцу подачи документов для замещения соотв</w:t>
      </w:r>
      <w:r>
        <w:rPr>
          <w:color w:val="333333"/>
          <w:sz w:val="27"/>
          <w:szCs w:val="27"/>
        </w:rPr>
        <w:t>етствующей должности.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акты Президента Российской Федерации изменения по перечню согласно приложению № 2.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Рекомендовать федеральным государственным органам, Центральному банку Российской Федерации, органам государственной власти субъектов Рос</w:t>
      </w:r>
      <w:r>
        <w:rPr>
          <w:color w:val="333333"/>
          <w:sz w:val="27"/>
          <w:szCs w:val="27"/>
        </w:rPr>
        <w:t xml:space="preserve">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</w:t>
      </w:r>
      <w:r>
        <w:rPr>
          <w:color w:val="333333"/>
          <w:sz w:val="27"/>
          <w:szCs w:val="27"/>
        </w:rPr>
        <w:t>доходах, об имуществе и обязательствах имущественного характера.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Настоящий Указ вступает в силу с 1 января 2021 г., за исключением пункта 6 приложения № 2, который вступает в силу с 1 июля 2021 г.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i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</w:t>
      </w:r>
      <w:r>
        <w:rPr>
          <w:color w:val="333333"/>
          <w:sz w:val="27"/>
          <w:szCs w:val="27"/>
        </w:rPr>
        <w:t>        В.Путин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 декабря 2020 года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778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s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Указу Президента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  <w:t>от 10 декабря 2020 г. № 778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t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</w:t>
      </w:r>
      <w:r>
        <w:rPr>
          <w:color w:val="333333"/>
          <w:sz w:val="27"/>
          <w:szCs w:val="27"/>
        </w:rPr>
        <w:br/>
        <w:t>о наличии цифровых финансовых активов, цифровых прав, включающих одновременно цифровые финансов</w:t>
      </w:r>
      <w:r>
        <w:rPr>
          <w:color w:val="333333"/>
          <w:sz w:val="27"/>
          <w:szCs w:val="27"/>
        </w:rPr>
        <w:t>ые активы и иные цифровые права, утилитарных цифровых прав, цифровой валюты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_________________________________________________________, уведомляю</w:t>
      </w:r>
    </w:p>
    <w:p w:rsidR="00000000" w:rsidRDefault="00F343FC">
      <w:pPr>
        <w:pStyle w:val="c"/>
        <w:spacing w:line="300" w:lineRule="auto"/>
        <w:divId w:val="653068125"/>
        <w:rPr>
          <w:color w:val="333333"/>
          <w:sz w:val="27"/>
          <w:szCs w:val="27"/>
        </w:rPr>
      </w:pPr>
      <w:r>
        <w:rPr>
          <w:rStyle w:val="w81"/>
          <w:color w:val="333333"/>
          <w:sz w:val="27"/>
          <w:szCs w:val="27"/>
        </w:rPr>
        <w:t>(фамилия, имя, отчество)</w:t>
      </w:r>
    </w:p>
    <w:p w:rsidR="00000000" w:rsidRDefault="00F343FC">
      <w:pPr>
        <w:pStyle w:val="j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наличии у меня, моей супруги (моего супруга), </w:t>
      </w:r>
      <w:r>
        <w:rPr>
          <w:color w:val="333333"/>
          <w:sz w:val="27"/>
          <w:szCs w:val="27"/>
        </w:rPr>
        <w:t>несовершеннолетнего ребенка (нужное подчеркнуть) следующего имущества: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1768"/>
        <w:gridCol w:w="1484"/>
        <w:gridCol w:w="2994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>_________________________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 xml:space="preserve"> Указываются наименования цифрового финансового </w:t>
      </w:r>
      <w:r>
        <w:rPr>
          <w:color w:val="333333"/>
        </w:rPr>
        <w:t>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</w:t>
      </w:r>
      <w:r>
        <w:rPr>
          <w:color w:val="333333"/>
        </w:rPr>
        <w:t>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lastRenderedPageBreak/>
        <w:t>2</w:t>
      </w:r>
      <w:r>
        <w:rPr>
          <w:color w:val="333333"/>
        </w:rPr>
        <w:t> Указываются наименование оператора информационной системы, в которой осуществляется выпуск цифровых финансовых активов,</w:t>
      </w:r>
      <w:r>
        <w:rPr>
          <w:color w:val="333333"/>
        </w:rPr>
        <w:t xml:space="preserve">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Утилитарные цифр</w:t>
      </w:r>
      <w:r>
        <w:rPr>
          <w:color w:val="333333"/>
          <w:sz w:val="27"/>
          <w:szCs w:val="27"/>
        </w:rPr>
        <w:t>овые права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7"/>
        <w:gridCol w:w="1837"/>
        <w:gridCol w:w="1629"/>
        <w:gridCol w:w="2823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Объем инвестиций</w:t>
            </w:r>
          </w:p>
          <w:p w:rsidR="00000000" w:rsidRDefault="00F343FC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Цифровая валюта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43FC">
      <w:pPr>
        <w:pStyle w:val="c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состоянию на ________________________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440"/>
      </w:tblGrid>
      <w:tr w:rsidR="00000000">
        <w:trPr>
          <w:divId w:val="653068125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81"/>
                <w:color w:val="333333"/>
                <w:sz w:val="27"/>
                <w:szCs w:val="27"/>
              </w:rPr>
              <w:t>(фамилия и инициалы)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t>________________________________</w:t>
            </w:r>
            <w:r>
              <w:rPr>
                <w:rStyle w:val="w81"/>
                <w:color w:val="333333"/>
                <w:sz w:val="27"/>
                <w:szCs w:val="27"/>
              </w:rPr>
              <w:t xml:space="preserve"> (подпись и дата)</w:t>
            </w:r>
          </w:p>
        </w:tc>
      </w:tr>
    </w:tbl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rStyle w:val="w81"/>
          <w:color w:val="333333"/>
          <w:sz w:val="27"/>
          <w:szCs w:val="27"/>
        </w:rPr>
        <w:t>__________________________________________ 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color w:val="333333"/>
        </w:rPr>
        <w:t> Указывается уникальное условное обозначение, идентифицирующее утилитарное цифровое право.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2 </w:t>
      </w:r>
      <w:r>
        <w:rPr>
          <w:color w:val="333333"/>
        </w:rPr>
        <w:t xml:space="preserve">Указываются наименование оператора инвестиционной </w:t>
      </w:r>
      <w:r>
        <w:rPr>
          <w:color w:val="333333"/>
        </w:rPr>
        <w:t>платформы, его идентификационный номер налогоплательщика и основной государственный регистрационный номер.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c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s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>к Указу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10 декабря 2020 г. № 778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t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изменений, вносимых в а</w:t>
      </w:r>
      <w:r>
        <w:rPr>
          <w:color w:val="333333"/>
          <w:sz w:val="27"/>
          <w:szCs w:val="27"/>
        </w:rPr>
        <w:t>кты Президента Российской Федерации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</w:t>
      </w:r>
      <w:r>
        <w:rPr>
          <w:color w:val="333333"/>
          <w:sz w:val="27"/>
          <w:szCs w:val="27"/>
        </w:rPr>
        <w:t xml:space="preserve">едеральными государственными служащими требований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</w:t>
      </w:r>
      <w:r>
        <w:rPr>
          <w:color w:val="333333"/>
          <w:sz w:val="27"/>
          <w:szCs w:val="27"/>
        </w:rPr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</w:t>
      </w:r>
      <w:r>
        <w:rPr>
          <w:color w:val="333333"/>
          <w:sz w:val="27"/>
          <w:szCs w:val="27"/>
        </w:rPr>
        <w:t> 3, ст. 274; № 27, ст. 3446; 2012, № 12, ст. 1391; 2013, № 14, ст. 1670; № 49, ст. 6399; 2014, № 15, ст. 1729; № 26, ст. 3518; 2015, № 10, ст. 1506; № 29, ст. 4477; 2017, № 39, ст. 5682; 2018, № 33, ст. 5402):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абзаце первом пункта 18 слова "и органы, </w:t>
      </w:r>
      <w:r>
        <w:rPr>
          <w:color w:val="333333"/>
          <w:sz w:val="27"/>
          <w:szCs w:val="27"/>
        </w:rPr>
        <w:t xml:space="preserve">осуществляющие государственную регистрацию прав на недвижимое имущество и сделок с ним" </w:t>
      </w:r>
      <w:r>
        <w:rPr>
          <w:color w:val="333333"/>
          <w:sz w:val="27"/>
          <w:szCs w:val="27"/>
        </w:rPr>
        <w:lastRenderedPageBreak/>
        <w:t>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</w:t>
      </w:r>
      <w:r>
        <w:rPr>
          <w:color w:val="333333"/>
          <w:sz w:val="27"/>
          <w:szCs w:val="27"/>
        </w:rPr>
        <w:t>твляется выпуск цифровых финансовых активов";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</w:t>
      </w:r>
      <w:r>
        <w:rPr>
          <w:color w:val="333333"/>
          <w:sz w:val="27"/>
          <w:szCs w:val="27"/>
        </w:rPr>
        <w:t xml:space="preserve">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Положении о проверке достоверности и полноты сведений, представляемых гражданами, претендующими на замещение государственных д</w:t>
      </w:r>
      <w:r>
        <w:rPr>
          <w:color w:val="333333"/>
          <w:sz w:val="27"/>
          <w:szCs w:val="27"/>
        </w:rPr>
        <w:t xml:space="preserve">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</w:t>
      </w:r>
      <w:r>
        <w:rPr>
          <w:rStyle w:val="cmd"/>
          <w:color w:val="333333"/>
          <w:sz w:val="27"/>
          <w:szCs w:val="27"/>
        </w:rPr>
        <w:t>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</w:t>
      </w:r>
      <w:r>
        <w:rPr>
          <w:color w:val="333333"/>
          <w:sz w:val="27"/>
          <w:szCs w:val="27"/>
        </w:rPr>
        <w:t xml:space="preserve">аничений лицами, замещающими государственные должности Российской Федерации" (Собрание законодательства Российской Федерации, 2009, № 39, ст. 4589; 2010, № 27, ст. 3446; 2011, № 4, ст. 572; 2012, № 12, ст. 1391; 2013, № 14, ст. 1670; № 49, ст. 6399; 2014, </w:t>
      </w:r>
      <w:r>
        <w:rPr>
          <w:color w:val="333333"/>
          <w:sz w:val="27"/>
          <w:szCs w:val="27"/>
        </w:rPr>
        <w:t>№ 26, ст. 3518; 2015, № 11, ст. 1585; 2017, № 39, ст. 5682; 2018, № 21, ст. 2981):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 "г" пункта 7 слова "и органы, осуществляющие государственную регистрацию прав на недвижимое имущество и сделок с ним" заменить словами ", органы, осуществляющ</w:t>
      </w:r>
      <w:r>
        <w:rPr>
          <w:color w:val="333333"/>
          <w:sz w:val="27"/>
          <w:szCs w:val="27"/>
        </w:rPr>
        <w:t>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"и органы, осуществляющие государственную регистрацию прав на</w:t>
      </w:r>
      <w:r>
        <w:rPr>
          <w:color w:val="333333"/>
          <w:sz w:val="27"/>
          <w:szCs w:val="27"/>
        </w:rPr>
        <w:t xml:space="preserve">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</w:t>
      </w:r>
      <w:r>
        <w:rPr>
          <w:color w:val="333333"/>
          <w:sz w:val="27"/>
          <w:szCs w:val="27"/>
        </w:rPr>
        <w:t xml:space="preserve"> Указе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</w:t>
      </w:r>
      <w:r>
        <w:rPr>
          <w:color w:val="333333"/>
          <w:sz w:val="27"/>
          <w:szCs w:val="27"/>
        </w:rPr>
        <w:lastRenderedPageBreak/>
        <w:t>Федерации, 2013, № 14, ст. 1670; № 23, ст. 2892; № 28, ст. 3</w:t>
      </w:r>
      <w:r>
        <w:rPr>
          <w:color w:val="333333"/>
          <w:sz w:val="27"/>
          <w:szCs w:val="27"/>
        </w:rPr>
        <w:t>813; № 49, ст. 6399; 2014, № 26, ст. 3520; № 30, ст. 4286; 2015, № 10, ст. 1506; 2016, № 24, ст. 3506; 2017, № 9, ст. 1339; № 39, ст. 5682; № 42, ст. 6137; 2018, № 45, ст. 6916; 2019, № 20, ст. 2422; 2020, № 3, ст. 243) и в перечне должностных лиц, наделен</w:t>
      </w:r>
      <w:r>
        <w:rPr>
          <w:color w:val="333333"/>
          <w:sz w:val="27"/>
          <w:szCs w:val="27"/>
        </w:rPr>
        <w:t>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</w:t>
      </w:r>
      <w:r>
        <w:rPr>
          <w:color w:val="333333"/>
          <w:sz w:val="27"/>
          <w:szCs w:val="27"/>
        </w:rPr>
        <w:t>рупции, утвержденном этим Указом: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 19 Указа: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абзаце первом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</w:t>
      </w:r>
      <w:r>
        <w:rPr>
          <w:color w:val="333333"/>
          <w:sz w:val="27"/>
          <w:szCs w:val="27"/>
        </w:rPr>
        <w:t>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"Установить, что запросы в кредитные организации, налоговые органы Российской</w:t>
      </w:r>
      <w:r>
        <w:rPr>
          <w:color w:val="333333"/>
          <w:sz w:val="27"/>
          <w:szCs w:val="27"/>
        </w:rPr>
        <w:t xml:space="preserve">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</w:t>
      </w:r>
      <w:r>
        <w:rPr>
          <w:color w:val="333333"/>
          <w:sz w:val="27"/>
          <w:szCs w:val="27"/>
        </w:rPr>
        <w:t>ьи 26 Федерального закона "О банках и банковской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Федерации", частью 13 статьи 62 Федерального закона от 13 июля 2015 г. № 218-ФЗ "О государств</w:t>
      </w:r>
      <w:r>
        <w:rPr>
          <w:color w:val="333333"/>
          <w:sz w:val="27"/>
          <w:szCs w:val="27"/>
        </w:rPr>
        <w:t xml:space="preserve">енной регистрации недвижимости" и частью 3 статьи 6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</w:t>
      </w:r>
      <w:r>
        <w:rPr>
          <w:color w:val="333333"/>
          <w:sz w:val="27"/>
          <w:szCs w:val="27"/>
        </w:rPr>
        <w:t>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</w:t>
      </w:r>
      <w:r>
        <w:rPr>
          <w:color w:val="333333"/>
          <w:sz w:val="27"/>
          <w:szCs w:val="27"/>
        </w:rPr>
        <w:t xml:space="preserve">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</w:t>
      </w:r>
      <w:r>
        <w:rPr>
          <w:color w:val="333333"/>
          <w:sz w:val="27"/>
          <w:szCs w:val="27"/>
        </w:rPr>
        <w:lastRenderedPageBreak/>
        <w:t>финансовых активов, направляют дол</w:t>
      </w:r>
      <w:r>
        <w:rPr>
          <w:color w:val="333333"/>
          <w:sz w:val="27"/>
          <w:szCs w:val="27"/>
        </w:rPr>
        <w:t>жностные лица, включенные в названный перечень.";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наименование перечня изложить в следующей редакции:</w:t>
      </w:r>
    </w:p>
    <w:p w:rsidR="00000000" w:rsidRDefault="00F343FC">
      <w:pPr>
        <w:pStyle w:val="t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"ПЕРЕЧЕНЬ</w:t>
      </w:r>
      <w:r>
        <w:rPr>
          <w:color w:val="333333"/>
          <w:sz w:val="27"/>
          <w:szCs w:val="27"/>
        </w:rPr>
        <w:br/>
        <w:t>должностных лиц, наделенных полномочиями по направлению запросов в кредитные организации, налоговые органы Российской Федерации, органы, осущ</w:t>
      </w:r>
      <w:r>
        <w:rPr>
          <w:color w:val="333333"/>
          <w:sz w:val="27"/>
          <w:szCs w:val="27"/>
        </w:rPr>
        <w:t>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Пункт 6 У</w:t>
      </w:r>
      <w:r>
        <w:rPr>
          <w:color w:val="333333"/>
          <w:sz w:val="27"/>
          <w:szCs w:val="27"/>
        </w:rPr>
        <w:t xml:space="preserve">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</w:t>
      </w:r>
      <w:r>
        <w:rPr>
          <w:color w:val="333333"/>
          <w:sz w:val="27"/>
          <w:szCs w:val="27"/>
        </w:rPr>
        <w:t xml:space="preserve"> Российской Федерации, 2013, № 14, ст. 1671; № 28, ст. 3813; № 49, ст. 6399; 2014, № 26, ст. 3520; 2019, № 20, ст. 2422) после слов "(долей участия, паев в уставных (складочных) капиталах организаций)" дополнить словами ", цифровых финансовых активов, цифр</w:t>
      </w:r>
      <w:r>
        <w:rPr>
          <w:color w:val="333333"/>
          <w:sz w:val="27"/>
          <w:szCs w:val="27"/>
        </w:rPr>
        <w:t>овой валюты".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Подпункт "г" пункта 2 порядка размещения сведений о доходах, расходах, об имуществе и обязательствах имущественного характера отдельных категорий лиц и членов их семей на </w:t>
      </w:r>
      <w:r>
        <w:rPr>
          <w:color w:val="333333"/>
          <w:sz w:val="27"/>
          <w:szCs w:val="27"/>
        </w:rPr>
        <w:t>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</w:t>
      </w:r>
      <w:r>
        <w:rPr>
          <w:color w:val="333333"/>
          <w:sz w:val="27"/>
          <w:szCs w:val="27"/>
        </w:rPr>
        <w:t xml:space="preserve">та Российской Федерации </w:t>
      </w:r>
      <w:r>
        <w:rPr>
          <w:rStyle w:val="cmd"/>
          <w:color w:val="333333"/>
          <w:sz w:val="27"/>
          <w:szCs w:val="27"/>
        </w:rPr>
        <w:t>от 8 июля 2013 г. 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6399; 2014, № 26, ст. 3518; 2015, № 29, ст. 4477), изложить в следующей редакции: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сведе</w:t>
      </w:r>
      <w:r>
        <w:rPr>
          <w:color w:val="333333"/>
          <w:sz w:val="27"/>
          <w:szCs w:val="27"/>
        </w:rPr>
        <w:t xml:space="preserve">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</w:t>
      </w:r>
      <w:r>
        <w:rPr>
          <w:color w:val="333333"/>
          <w:sz w:val="27"/>
          <w:szCs w:val="27"/>
        </w:rPr>
        <w:t xml:space="preserve">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</w:t>
      </w:r>
      <w:r>
        <w:rPr>
          <w:color w:val="333333"/>
          <w:sz w:val="27"/>
          <w:szCs w:val="27"/>
        </w:rPr>
        <w:lastRenderedPageBreak/>
        <w:t>его супруги (супруга) за три последних года, предшествующих отчетному периоду.".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форме справки</w:t>
      </w:r>
      <w:r>
        <w:rPr>
          <w:color w:val="333333"/>
          <w:sz w:val="27"/>
          <w:szCs w:val="27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23 июня 2014 г. № 460</w:t>
      </w:r>
      <w:r>
        <w:rPr>
          <w:color w:val="333333"/>
          <w:sz w:val="27"/>
          <w:szCs w:val="27"/>
        </w:rPr>
        <w:t xml:space="preserve"> "Об утверждении формы справки о доходах, расходах, об имуществе и обязательствах имущественного харак</w:t>
      </w:r>
      <w:r>
        <w:rPr>
          <w:color w:val="333333"/>
          <w:sz w:val="27"/>
          <w:szCs w:val="27"/>
        </w:rPr>
        <w:t>тера и внесении изменений в некоторые акты Президента Российской Федерации" (Собрание законодательства Российской Федерации, 2014, № 26, ст. 3520; 2017, № 39, ст. 5682; № 42, ст. 6137; 2020, № 3, ст. 243):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раздел 1 изложить в следующей редакции:</w:t>
      </w:r>
    </w:p>
    <w:p w:rsidR="00000000" w:rsidRDefault="00F343FC">
      <w:pPr>
        <w:pStyle w:val="h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"Раздел</w:t>
      </w:r>
      <w:r>
        <w:rPr>
          <w:color w:val="333333"/>
          <w:sz w:val="27"/>
          <w:szCs w:val="27"/>
        </w:rPr>
        <w:t xml:space="preserve">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color w:val="333333"/>
                <w:sz w:val="27"/>
                <w:szCs w:val="27"/>
              </w:rPr>
              <w:t>(руб.)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Доход от вкладов в банках и иных кредитных </w:t>
            </w:r>
            <w:r>
              <w:rPr>
                <w:color w:val="333333"/>
                <w:sz w:val="27"/>
                <w:szCs w:val="27"/>
              </w:rPr>
              <w:t>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</w:tr>
    </w:tbl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>_________________________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 xml:space="preserve"> Указываются доходы (включая пенсии, пособия, иные </w:t>
      </w:r>
      <w:r>
        <w:rPr>
          <w:color w:val="333333"/>
        </w:rPr>
        <w:t>выплаты) за отчетный период.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 xml:space="preserve"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</w:t>
      </w:r>
      <w:r>
        <w:rPr>
          <w:color w:val="333333"/>
        </w:rPr>
        <w:lastRenderedPageBreak/>
        <w:t>которой определяется в иностранной валюте, указывается в рублях путем</w:t>
      </w:r>
      <w:r>
        <w:rPr>
          <w:color w:val="333333"/>
        </w:rPr>
        <w:t xml:space="preserve">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В случае указания дохода от продажи цифрового финансового актива, цифровых прав и цифровой валюты до</w:t>
      </w:r>
      <w:r>
        <w:rPr>
          <w:color w:val="333333"/>
        </w:rPr>
        <w:t>полнительно указываются дата отчуждения, сведения об операторе информационной системы (инвестиционной платформы) и вид цифровой валюты.";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раздел 2 изложить в следующей редакции:</w:t>
      </w:r>
    </w:p>
    <w:p w:rsidR="00000000" w:rsidRDefault="00F343FC">
      <w:pPr>
        <w:pStyle w:val="h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"Раздел 2. Сведения о расходах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Сумма </w:t>
            </w:r>
            <w:r>
              <w:rPr>
                <w:color w:val="333333"/>
                <w:sz w:val="27"/>
                <w:szCs w:val="27"/>
              </w:rPr>
              <w:t>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</w:t>
            </w:r>
          </w:p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участки: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>____________________________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Сведения о расходах представляются в случаях, установленных статьей 3 Федерального закона от 3 декабря 2012 г. № 230-Ф3 "О </w:t>
      </w:r>
      <w:r>
        <w:rPr>
          <w:color w:val="333333"/>
        </w:rPr>
        <w:t>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 xml:space="preserve"> Указываются наименование и реквизиты документа, </w:t>
      </w:r>
      <w:r>
        <w:rPr>
          <w:color w:val="333333"/>
        </w:rPr>
        <w:t>являющегося законным основанием для возникновения права собственности. Копия документа прилагается к настоящей справке.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</w:t>
      </w:r>
      <w:r>
        <w:rPr>
          <w:color w:val="333333"/>
        </w:rPr>
        <w:t>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</w:t>
      </w:r>
      <w:r>
        <w:rPr>
          <w:color w:val="333333"/>
        </w:rPr>
        <w:t>ии и прикладывается выписка о транзакции при ее наличии по применимому праву.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</w:t>
      </w:r>
      <w:r>
        <w:rPr>
          <w:color w:val="333333"/>
        </w:rPr>
        <w:t>информацию о второй стороне сделки.";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раздел 3 дополнить подразделами 3.3 - 3.5 следующего содержания: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"3.3.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>________________________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</w:t>
      </w:r>
      <w:r>
        <w:rPr>
          <w:color w:val="333333"/>
        </w:rPr>
        <w:t>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оператора информационной системы, в которой осу</w:t>
      </w:r>
      <w:r>
        <w:rPr>
          <w:color w:val="333333"/>
        </w:rPr>
        <w:t>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</w:t>
      </w:r>
      <w:r>
        <w:rPr>
          <w:color w:val="333333"/>
        </w:rPr>
        <w:t>й регистрационный номер).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h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3.4. Утилитарные цифровые права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Указывается уникальное условное обозначение, идентифицирующее утилитарное цифровое право.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h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3.5. </w:t>
      </w:r>
      <w:r>
        <w:rPr>
          <w:color w:val="333333"/>
          <w:sz w:val="27"/>
          <w:szCs w:val="27"/>
        </w:rPr>
        <w:t>Цифровая валюта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5"/>
        <w:gridCol w:w="2242"/>
        <w:gridCol w:w="2143"/>
        <w:gridCol w:w="306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";</w:t>
            </w:r>
          </w:p>
        </w:tc>
      </w:tr>
    </w:tbl>
    <w:p w:rsidR="00000000" w:rsidRDefault="00F343FC">
      <w:pPr>
        <w:pStyle w:val="r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сноску 1 к разделу 4 изложить в следующей редакции: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Указываются </w:t>
      </w:r>
      <w:r>
        <w:rPr>
          <w:color w:val="333333"/>
          <w:sz w:val="27"/>
          <w:szCs w:val="27"/>
        </w:rPr>
        <w:t>вид счета (депозитный, текущий, расчетный и другие) и валюта счета.";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раздел 7 изложить в следующей редакции: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</w:t>
      </w:r>
      <w:r>
        <w:rPr>
          <w:rStyle w:val="w41"/>
          <w:color w:val="333333"/>
          <w:sz w:val="27"/>
          <w:szCs w:val="27"/>
        </w:rPr>
        <w:t>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77"/>
        <w:gridCol w:w="2509"/>
        <w:gridCol w:w="2180"/>
      </w:tblGrid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Приобретатель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</w:t>
            </w:r>
            <w:r>
              <w:rPr>
                <w:color w:val="333333"/>
                <w:sz w:val="27"/>
                <w:szCs w:val="27"/>
              </w:rPr>
              <w:t>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Земельные участки: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Иное недвижимое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имущество: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Ценные бумаги: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Утилитарные цифровые права: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53068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F343FC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34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color w:val="333333"/>
        </w:rPr>
        <w:t>___________________________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color w:val="333333"/>
        </w:rPr>
        <w:t xml:space="preserve"> Указываются фамилия, имя, отчество (при наличии), </w:t>
      </w:r>
      <w:r>
        <w:rPr>
          <w:color w:val="333333"/>
        </w:rPr>
        <w:t>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</w:t>
      </w:r>
      <w:r>
        <w:rPr>
          <w:color w:val="333333"/>
        </w:rPr>
        <w:t>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F343FC">
      <w:pPr>
        <w:pStyle w:val="n"/>
        <w:spacing w:line="300" w:lineRule="auto"/>
        <w:divId w:val="65306812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</w:t>
      </w:r>
      <w:r>
        <w:rPr>
          <w:color w:val="333333"/>
        </w:rPr>
        <w:t>договора или акта). Для цифровых финансовых активов, цифровых прав и цифровой валюты также указывается дата их отчуждения.".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Положении о представлении атаманами войсковых казачьих обществ, внесенных в государственный реестр казачьих обществ в Россий</w:t>
      </w:r>
      <w:r>
        <w:rPr>
          <w:color w:val="333333"/>
          <w:sz w:val="27"/>
          <w:szCs w:val="27"/>
        </w:rPr>
        <w:t xml:space="preserve">ской Федерации, сведений о доходах, об имуществе и обязательствах имущественного характера,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9 октября 2017 г. № 472</w:t>
      </w:r>
      <w:r>
        <w:rPr>
          <w:color w:val="333333"/>
          <w:sz w:val="27"/>
          <w:szCs w:val="27"/>
        </w:rPr>
        <w:t xml:space="preserve"> "О представлении атаманами войсковых казачьих обществ, внесенных в государственный ре</w:t>
      </w:r>
      <w:r>
        <w:rPr>
          <w:color w:val="333333"/>
          <w:sz w:val="27"/>
          <w:szCs w:val="27"/>
        </w:rPr>
        <w:t>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</w:t>
      </w:r>
      <w:r>
        <w:rPr>
          <w:color w:val="333333"/>
          <w:sz w:val="27"/>
          <w:szCs w:val="27"/>
        </w:rPr>
        <w:t xml:space="preserve"> Президента Российской Федерации от 23 июня 2014 г. № 460" (Собрание законодательства Российской Федерации, 2017, № 42, ст. 6137):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подпункте "г" пункта 18 слова "органы, осуществляющие государственную регистрацию прав на недвижимое </w:t>
      </w:r>
      <w:r>
        <w:rPr>
          <w:color w:val="333333"/>
          <w:sz w:val="27"/>
          <w:szCs w:val="27"/>
        </w:rPr>
        <w:t>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абзаце </w:t>
      </w:r>
      <w:r>
        <w:rPr>
          <w:color w:val="333333"/>
          <w:sz w:val="27"/>
          <w:szCs w:val="27"/>
        </w:rPr>
        <w:t>первом пункта 19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</w:t>
      </w:r>
      <w:r>
        <w:rPr>
          <w:color w:val="333333"/>
          <w:sz w:val="27"/>
          <w:szCs w:val="27"/>
        </w:rPr>
        <w:t>ионных систем, в которых осуществляется выпуск цифровых финансовых активов, и в";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 20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</w:t>
      </w:r>
      <w:r>
        <w:rPr>
          <w:color w:val="333333"/>
          <w:sz w:val="27"/>
          <w:szCs w:val="27"/>
        </w:rPr>
        <w:t xml:space="preserve">нную регистрацию прав на недвижимое </w:t>
      </w:r>
      <w:r>
        <w:rPr>
          <w:color w:val="333333"/>
          <w:sz w:val="27"/>
          <w:szCs w:val="27"/>
        </w:rPr>
        <w:lastRenderedPageBreak/>
        <w:t>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Положении о представлении гражданином, претендующим на замещение должности главного финансо</w:t>
      </w:r>
      <w:r>
        <w:rPr>
          <w:color w:val="333333"/>
          <w:sz w:val="27"/>
          <w:szCs w:val="27"/>
        </w:rPr>
        <w:t xml:space="preserve">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</w:t>
      </w:r>
      <w:r>
        <w:rPr>
          <w:color w:val="333333"/>
          <w:sz w:val="27"/>
          <w:szCs w:val="27"/>
        </w:rPr>
        <w:t xml:space="preserve">детей,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13 мая 2019 г. № 217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"Об уполномоченном по правам потребителей финансовых услуг" (Собрание законодательства Российской Федерации, 2</w:t>
      </w:r>
      <w:r>
        <w:rPr>
          <w:color w:val="333333"/>
          <w:sz w:val="27"/>
          <w:szCs w:val="27"/>
        </w:rPr>
        <w:t>019, № 20, ст. 2422):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 "в" пункта 17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</w:t>
      </w:r>
      <w:r>
        <w:rPr>
          <w:color w:val="333333"/>
          <w:sz w:val="27"/>
          <w:szCs w:val="27"/>
        </w:rPr>
        <w:t>совых активов,";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</w:t>
      </w:r>
      <w:r>
        <w:rPr>
          <w:color w:val="333333"/>
          <w:sz w:val="27"/>
          <w:szCs w:val="27"/>
        </w:rPr>
        <w:t>ператорам информационных систем, в которых осуществляется выпуск цифровых финансовых активов".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подпункте "г" пункта 3 Положения о порядке предварительного уведомления Президента Российской Федерации лицами, замещающими отдельные государственные должно</w:t>
      </w:r>
      <w:r>
        <w:rPr>
          <w:color w:val="333333"/>
          <w:sz w:val="27"/>
          <w:szCs w:val="27"/>
        </w:rPr>
        <w:t xml:space="preserve">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29 мая 2020 г. № 342</w:t>
      </w:r>
      <w:r>
        <w:rPr>
          <w:color w:val="333333"/>
          <w:sz w:val="27"/>
          <w:szCs w:val="27"/>
        </w:rPr>
        <w:t xml:space="preserve"> "Об утверждении Положения о порядке предварительного уведомле</w:t>
      </w:r>
      <w:r>
        <w:rPr>
          <w:color w:val="333333"/>
          <w:sz w:val="27"/>
          <w:szCs w:val="27"/>
        </w:rPr>
        <w:t>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</w:t>
      </w:r>
      <w:r>
        <w:rPr>
          <w:color w:val="333333"/>
          <w:sz w:val="27"/>
          <w:szCs w:val="27"/>
        </w:rPr>
        <w:t>020, № 22, ст. 3473), слово "индивидуальный" заменить словом "идентификационный".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a3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43FC">
      <w:pPr>
        <w:pStyle w:val="c"/>
        <w:spacing w:line="300" w:lineRule="auto"/>
        <w:divId w:val="653068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43FC"/>
    <w:rsid w:val="00F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F830-8C1C-44E9-AB16-C8DDF468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after="90"/>
      <w:ind w:left="675"/>
    </w:pPr>
  </w:style>
  <w:style w:type="paragraph" w:customStyle="1" w:styleId="k">
    <w:name w:val="k"/>
    <w:basedOn w:val="a"/>
    <w:uiPriority w:val="99"/>
    <w:semiHidden/>
    <w:pPr>
      <w:spacing w:before="90" w:after="9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after="9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after="9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after="90"/>
      <w:ind w:left="675"/>
    </w:pPr>
  </w:style>
  <w:style w:type="paragraph" w:customStyle="1" w:styleId="m">
    <w:name w:val="m"/>
    <w:basedOn w:val="a"/>
    <w:uiPriority w:val="99"/>
    <w:semiHidden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after="90"/>
    </w:pPr>
  </w:style>
  <w:style w:type="paragraph" w:customStyle="1" w:styleId="r">
    <w:name w:val="r"/>
    <w:basedOn w:val="a"/>
    <w:uiPriority w:val="99"/>
    <w:semiHidden/>
    <w:pPr>
      <w:spacing w:before="90" w:after="90"/>
      <w:jc w:val="right"/>
    </w:pPr>
  </w:style>
  <w:style w:type="paragraph" w:customStyle="1" w:styleId="j">
    <w:name w:val="j"/>
    <w:basedOn w:val="a"/>
    <w:uiPriority w:val="99"/>
    <w:semiHidden/>
    <w:pPr>
      <w:spacing w:before="90" w:after="90"/>
      <w:jc w:val="both"/>
    </w:pPr>
  </w:style>
  <w:style w:type="paragraph" w:customStyle="1" w:styleId="w0">
    <w:name w:val="w0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after="9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after="9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after="9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after="9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after="9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after="9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after="9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after="9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after="9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after="9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after="9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m1">
    <w:name w:val="m1"/>
    <w:basedOn w:val="a"/>
    <w:uiPriority w:val="99"/>
    <w:semiHidden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</w:style>
  <w:style w:type="paragraph" w:customStyle="1" w:styleId="c2">
    <w:name w:val="c2"/>
    <w:basedOn w:val="a"/>
    <w:uiPriority w:val="99"/>
    <w:semiHidden/>
    <w:pPr>
      <w:jc w:val="center"/>
    </w:pPr>
  </w:style>
  <w:style w:type="paragraph" w:customStyle="1" w:styleId="r2">
    <w:name w:val="r2"/>
    <w:basedOn w:val="a"/>
    <w:uiPriority w:val="99"/>
    <w:semiHidden/>
    <w:pPr>
      <w:jc w:val="right"/>
    </w:pPr>
  </w:style>
  <w:style w:type="paragraph" w:customStyle="1" w:styleId="j2">
    <w:name w:val="j2"/>
    <w:basedOn w:val="a"/>
    <w:uiPriority w:val="99"/>
    <w:semiHidden/>
    <w:pPr>
      <w:jc w:val="both"/>
    </w:pPr>
  </w:style>
  <w:style w:type="paragraph" w:customStyle="1" w:styleId="p2">
    <w:name w:val="p2"/>
    <w:basedOn w:val="a"/>
    <w:uiPriority w:val="99"/>
    <w:semiHidden/>
    <w:pPr>
      <w:ind w:firstLine="570"/>
      <w:jc w:val="both"/>
    </w:pPr>
  </w:style>
  <w:style w:type="paragraph" w:customStyle="1" w:styleId="n2">
    <w:name w:val="n2"/>
    <w:basedOn w:val="a"/>
    <w:uiPriority w:val="99"/>
    <w:semiHidden/>
    <w:pPr>
      <w:ind w:firstLine="570"/>
      <w:jc w:val="both"/>
    </w:pPr>
  </w:style>
  <w:style w:type="paragraph" w:customStyle="1" w:styleId="i2">
    <w:name w:val="i2"/>
    <w:basedOn w:val="a"/>
    <w:uiPriority w:val="99"/>
    <w:semiHidden/>
    <w:pPr>
      <w:ind w:left="570"/>
    </w:pPr>
  </w:style>
  <w:style w:type="paragraph" w:customStyle="1" w:styleId="k2">
    <w:name w:val="k2"/>
    <w:basedOn w:val="a"/>
    <w:uiPriority w:val="99"/>
    <w:semiHidden/>
    <w:pPr>
      <w:ind w:left="570"/>
      <w:jc w:val="both"/>
    </w:pPr>
  </w:style>
  <w:style w:type="paragraph" w:customStyle="1" w:styleId="h2">
    <w:name w:val="h2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semiHidden/>
    <w:pPr>
      <w:jc w:val="center"/>
    </w:pPr>
  </w:style>
  <w:style w:type="paragraph" w:customStyle="1" w:styleId="c4">
    <w:name w:val="c4"/>
    <w:basedOn w:val="a"/>
    <w:uiPriority w:val="99"/>
    <w:semiHidden/>
    <w:pPr>
      <w:jc w:val="center"/>
    </w:pPr>
  </w:style>
  <w:style w:type="paragraph" w:customStyle="1" w:styleId="l3">
    <w:name w:val="l3"/>
    <w:basedOn w:val="a"/>
    <w:uiPriority w:val="99"/>
    <w:semiHidden/>
  </w:style>
  <w:style w:type="paragraph" w:customStyle="1" w:styleId="c5">
    <w:name w:val="c5"/>
    <w:basedOn w:val="a"/>
    <w:uiPriority w:val="99"/>
    <w:semiHidden/>
    <w:pPr>
      <w:jc w:val="center"/>
    </w:pPr>
  </w:style>
  <w:style w:type="paragraph" w:customStyle="1" w:styleId="r3">
    <w:name w:val="r3"/>
    <w:basedOn w:val="a"/>
    <w:uiPriority w:val="99"/>
    <w:semiHidden/>
    <w:pPr>
      <w:jc w:val="right"/>
    </w:pPr>
  </w:style>
  <w:style w:type="character" w:customStyle="1" w:styleId="w81">
    <w:name w:val="w8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1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3209</Words>
  <Characters>21648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</dc:creator>
  <cp:keywords/>
  <dc:description/>
  <cp:lastModifiedBy>User</cp:lastModifiedBy>
  <cp:revision>2</cp:revision>
  <dcterms:created xsi:type="dcterms:W3CDTF">2021-07-05T08:12:00Z</dcterms:created>
  <dcterms:modified xsi:type="dcterms:W3CDTF">2021-07-05T08:12:00Z</dcterms:modified>
</cp:coreProperties>
</file>