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0A" w:rsidRDefault="00F7110A" w:rsidP="00F71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 НАСТАВНИКУ</w:t>
      </w:r>
    </w:p>
    <w:p w:rsidR="00F7110A" w:rsidRDefault="00F7110A" w:rsidP="00F71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10A" w:rsidRDefault="00F7110A" w:rsidP="00F71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8F29FA">
        <w:rPr>
          <w:rFonts w:ascii="Times New Roman" w:hAnsi="Times New Roman" w:cs="Times New Roman"/>
          <w:b/>
          <w:bCs/>
          <w:sz w:val="28"/>
          <w:szCs w:val="28"/>
        </w:rPr>
        <w:t xml:space="preserve">Типы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наставляемых</w:t>
      </w:r>
      <w:proofErr w:type="gramEnd"/>
      <w:r w:rsidRPr="008F29FA">
        <w:rPr>
          <w:rFonts w:ascii="Times New Roman" w:hAnsi="Times New Roman" w:cs="Times New Roman"/>
          <w:b/>
          <w:bCs/>
          <w:sz w:val="28"/>
          <w:szCs w:val="28"/>
        </w:rPr>
        <w:t xml:space="preserve"> и как с ними работать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F7110A" w:rsidRDefault="00F7110A" w:rsidP="00F7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7110A" w:rsidRDefault="00F7110A" w:rsidP="00F7110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Любой процесс передачи знаний вызывает определенные трудности, часть из которых решается адекватно подобранным способом информирования наставляемого. Однако критическое отношение к получаемой информации наблюдается во всех типах наставляемых. В этих условиях при осуществлении наставничества важно добиться трансформации общего критического настроя в мотивацию наставляемого к преобразованию частностей, </w:t>
      </w:r>
      <w:proofErr w:type="gramStart"/>
      <w:r>
        <w:rPr>
          <w:rFonts w:ascii="Times New Roman" w:hAnsi="Times New Roman"/>
          <w:sz w:val="28"/>
          <w:szCs w:val="28"/>
        </w:rPr>
        <w:t>недостатки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которых послужили причиной общего негатива в его восприятии. Такой подход особенно продуктивен при работе с молодыми гражданскими служащими.</w:t>
      </w:r>
    </w:p>
    <w:p w:rsidR="00F7110A" w:rsidRDefault="00F7110A" w:rsidP="00F7110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эффективной совместной работы с гражданским служащим, в отношении которого осуществляется наставничество, наставнику важно понять и учитывать при выборе способов </w:t>
      </w:r>
      <w:proofErr w:type="gramStart"/>
      <w:r>
        <w:rPr>
          <w:rFonts w:ascii="Times New Roman" w:hAnsi="Times New Roman"/>
          <w:sz w:val="28"/>
          <w:szCs w:val="28"/>
        </w:rPr>
        <w:t>взаимодействия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особенности восприятия информации, так и характер наставляемого.</w:t>
      </w:r>
    </w:p>
    <w:p w:rsidR="00F7110A" w:rsidRPr="00EA01F8" w:rsidRDefault="00F7110A" w:rsidP="00F7110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F7110A" w:rsidTr="00061D02">
        <w:trPr>
          <w:trHeight w:val="584"/>
        </w:trPr>
        <w:tc>
          <w:tcPr>
            <w:tcW w:w="4784" w:type="dxa"/>
            <w:vAlign w:val="center"/>
          </w:tcPr>
          <w:p w:rsidR="00F7110A" w:rsidRPr="00F23750" w:rsidRDefault="00F7110A" w:rsidP="000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750">
              <w:rPr>
                <w:rFonts w:ascii="Times New Roman" w:hAnsi="Times New Roman"/>
                <w:b/>
                <w:sz w:val="28"/>
                <w:szCs w:val="28"/>
              </w:rPr>
              <w:t xml:space="preserve">Типы </w:t>
            </w:r>
            <w:proofErr w:type="gramStart"/>
            <w:r w:rsidRPr="00F23750">
              <w:rPr>
                <w:rFonts w:ascii="Times New Roman" w:hAnsi="Times New Roman"/>
                <w:b/>
                <w:sz w:val="28"/>
                <w:szCs w:val="28"/>
              </w:rPr>
              <w:t>наставляемых</w:t>
            </w:r>
            <w:proofErr w:type="gramEnd"/>
          </w:p>
        </w:tc>
        <w:tc>
          <w:tcPr>
            <w:tcW w:w="4786" w:type="dxa"/>
            <w:vAlign w:val="center"/>
          </w:tcPr>
          <w:p w:rsidR="00F7110A" w:rsidRPr="00F23750" w:rsidRDefault="00F7110A" w:rsidP="00061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Возможные варианты эффективных действий наставника</w:t>
            </w:r>
          </w:p>
        </w:tc>
      </w:tr>
      <w:tr w:rsidR="00F7110A" w:rsidTr="00061D02">
        <w:tc>
          <w:tcPr>
            <w:tcW w:w="4784" w:type="dxa"/>
          </w:tcPr>
          <w:p w:rsidR="00F7110A" w:rsidRPr="008F29FA" w:rsidRDefault="00F7110A" w:rsidP="0006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9FA">
              <w:rPr>
                <w:rFonts w:ascii="Times New Roman" w:hAnsi="Times New Roman"/>
                <w:sz w:val="28"/>
                <w:szCs w:val="28"/>
              </w:rPr>
              <w:t>Спорщикам нравится сам процесс дискуссии, а не прояснение сути вопроса. Их не убеждает ни статус собеседника, ни обоснованность информации, ни способ ее подачи.</w:t>
            </w:r>
          </w:p>
        </w:tc>
        <w:tc>
          <w:tcPr>
            <w:tcW w:w="4786" w:type="dxa"/>
          </w:tcPr>
          <w:p w:rsidR="00F7110A" w:rsidRPr="008F29FA" w:rsidRDefault="00F7110A" w:rsidP="0006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9FA">
              <w:rPr>
                <w:rFonts w:ascii="Times New Roman" w:hAnsi="Times New Roman"/>
                <w:sz w:val="28"/>
                <w:szCs w:val="28"/>
              </w:rPr>
              <w:t>Со спорщиками важно сохранять внешнее спокойствие и не вовлекаться в дискуссию. Переубедить такого человека невозможно. Поэтому следует уклоняться от споров, например, сказать, что в данном государственном органе так не принято. Предложение заранее готовиться к встрече и формулировать вопросы вызовет сопротивление и раздражение у такого сотрудника. В некоторых случаях снизить активность спорщика помогает одобрение его заслуг либо демонстрация согласия с его верными рассуждениями.</w:t>
            </w:r>
          </w:p>
        </w:tc>
      </w:tr>
      <w:tr w:rsidR="00F7110A" w:rsidTr="00061D02">
        <w:tc>
          <w:tcPr>
            <w:tcW w:w="4784" w:type="dxa"/>
          </w:tcPr>
          <w:p w:rsidR="00F7110A" w:rsidRPr="008F29FA" w:rsidRDefault="00F7110A" w:rsidP="0006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9FA">
              <w:rPr>
                <w:rFonts w:ascii="Times New Roman" w:hAnsi="Times New Roman"/>
                <w:sz w:val="28"/>
                <w:szCs w:val="28"/>
              </w:rPr>
              <w:t xml:space="preserve">Въедливые склонны задавать много вопросов. Такое поведение может </w:t>
            </w:r>
            <w:proofErr w:type="gramStart"/>
            <w:r w:rsidRPr="008F29FA">
              <w:rPr>
                <w:rFonts w:ascii="Times New Roman" w:hAnsi="Times New Roman"/>
                <w:sz w:val="28"/>
                <w:szCs w:val="28"/>
              </w:rPr>
              <w:lastRenderedPageBreak/>
              <w:t>объясняться</w:t>
            </w:r>
            <w:proofErr w:type="gramEnd"/>
            <w:r w:rsidRPr="008F29FA">
              <w:rPr>
                <w:rFonts w:ascii="Times New Roman" w:hAnsi="Times New Roman"/>
                <w:sz w:val="28"/>
                <w:szCs w:val="28"/>
              </w:rPr>
              <w:t xml:space="preserve"> как желанием получить подр</w:t>
            </w:r>
            <w:r>
              <w:rPr>
                <w:rFonts w:ascii="Times New Roman" w:hAnsi="Times New Roman"/>
                <w:sz w:val="28"/>
                <w:szCs w:val="28"/>
              </w:rPr>
              <w:t>обную информацию о новом служебном</w:t>
            </w:r>
            <w:r w:rsidRPr="008F29FA">
              <w:rPr>
                <w:rFonts w:ascii="Times New Roman" w:hAnsi="Times New Roman"/>
                <w:sz w:val="28"/>
                <w:szCs w:val="28"/>
              </w:rPr>
              <w:t xml:space="preserve"> месте, так и потребностью в создании понятных, предсказуемых условий.</w:t>
            </w:r>
          </w:p>
        </w:tc>
        <w:tc>
          <w:tcPr>
            <w:tcW w:w="4786" w:type="dxa"/>
          </w:tcPr>
          <w:p w:rsidR="00F7110A" w:rsidRPr="008F29FA" w:rsidRDefault="00F7110A" w:rsidP="0006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9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Въедливым необходимо помочь создать понятное информационное </w:t>
            </w:r>
            <w:r w:rsidRPr="008F29FA">
              <w:rPr>
                <w:rFonts w:ascii="Times New Roman" w:hAnsi="Times New Roman"/>
                <w:sz w:val="28"/>
                <w:szCs w:val="28"/>
              </w:rPr>
              <w:lastRenderedPageBreak/>
              <w:t>поле. Будет полезно рекомендовать им интересные книги, интернет-ресурсы, соответствующие их обязанностям; подсказать, какие источники информации они могут использовать в работе, к каким сотрудникам и с какими вопросами обращаться. Въедливые положительно отреагируют на предложение структурировать процесс передачи опыта в виде «пятиминуток вопросов» и определение регулярного времени для ответов на вопросы, так как это создаст для них понятные, предсказуемые условия взаимодействия.</w:t>
            </w:r>
          </w:p>
        </w:tc>
      </w:tr>
      <w:tr w:rsidR="00F7110A" w:rsidTr="00061D02">
        <w:tc>
          <w:tcPr>
            <w:tcW w:w="4784" w:type="dxa"/>
          </w:tcPr>
          <w:p w:rsidR="00F7110A" w:rsidRPr="008F29FA" w:rsidRDefault="00F7110A" w:rsidP="0006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9FA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Профессионалы нередко обладают значительным опытом работы, высоким уровнем образования, а потому – независимым мнением. Они уклоняются от выполнения указаний, если не согласны с ними, и не хотят выступать в роли простых исполнителей.</w:t>
            </w:r>
          </w:p>
        </w:tc>
        <w:tc>
          <w:tcPr>
            <w:tcW w:w="4786" w:type="dxa"/>
          </w:tcPr>
          <w:p w:rsidR="00F7110A" w:rsidRPr="008F29FA" w:rsidRDefault="00F7110A" w:rsidP="0006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9FA">
              <w:rPr>
                <w:rFonts w:ascii="Times New Roman" w:hAnsi="Times New Roman"/>
                <w:sz w:val="28"/>
                <w:szCs w:val="28"/>
              </w:rPr>
              <w:t xml:space="preserve">Профессионалам надо показать свою компетентность. Можно, например, развернуть дискуссию с ними по тем вопросам, по которым у наставника </w:t>
            </w:r>
            <w:proofErr w:type="gramStart"/>
            <w:r w:rsidRPr="008F29FA">
              <w:rPr>
                <w:rFonts w:ascii="Times New Roman" w:hAnsi="Times New Roman"/>
                <w:sz w:val="28"/>
                <w:szCs w:val="28"/>
              </w:rPr>
              <w:t>горазда</w:t>
            </w:r>
            <w:proofErr w:type="gramEnd"/>
            <w:r w:rsidRPr="008F29FA">
              <w:rPr>
                <w:rFonts w:ascii="Times New Roman" w:hAnsi="Times New Roman"/>
                <w:sz w:val="28"/>
                <w:szCs w:val="28"/>
              </w:rPr>
              <w:t xml:space="preserve"> больше знаний, или заранее подготовиться к определенной теме. Кроме того, можно рассказать о высоком мнении авторитетных лиц о работе наставника, о серьезных профессиональных результатах.</w:t>
            </w:r>
          </w:p>
        </w:tc>
      </w:tr>
      <w:tr w:rsidR="00F7110A" w:rsidTr="00061D02">
        <w:tc>
          <w:tcPr>
            <w:tcW w:w="4784" w:type="dxa"/>
          </w:tcPr>
          <w:p w:rsidR="00F7110A" w:rsidRPr="008F29FA" w:rsidRDefault="00F7110A" w:rsidP="0006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9FA">
              <w:rPr>
                <w:rFonts w:ascii="Times New Roman" w:hAnsi="Times New Roman"/>
                <w:sz w:val="28"/>
                <w:szCs w:val="28"/>
              </w:rPr>
              <w:t>Консерваторы – это люди, не склонные менять привычные способы работы. Любая новая информация кажется им противоречащей предыдущим сведениям, поэтому они начинают сомневаться в ее правильности.</w:t>
            </w:r>
          </w:p>
        </w:tc>
        <w:tc>
          <w:tcPr>
            <w:tcW w:w="4786" w:type="dxa"/>
          </w:tcPr>
          <w:p w:rsidR="00F7110A" w:rsidRPr="008F29FA" w:rsidRDefault="00F7110A" w:rsidP="0006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9FA">
              <w:rPr>
                <w:rFonts w:ascii="Times New Roman" w:hAnsi="Times New Roman"/>
                <w:sz w:val="28"/>
                <w:szCs w:val="28"/>
              </w:rPr>
              <w:t>Консерваторам необходимо дать дополнительное время на то, чтобы они могли разобраться с незнакомыми задачами или методами. Их следует дополнительно стимулировать к применению новых процессов работы и контролировать этот процесс. Следует учитывать, что времени для разбега им требуется гораздо больше, чем остальным сотрудникам.</w:t>
            </w:r>
          </w:p>
        </w:tc>
      </w:tr>
      <w:tr w:rsidR="00F7110A" w:rsidTr="00061D02">
        <w:tc>
          <w:tcPr>
            <w:tcW w:w="4784" w:type="dxa"/>
          </w:tcPr>
          <w:p w:rsidR="00F7110A" w:rsidRPr="008F29FA" w:rsidRDefault="00F7110A" w:rsidP="0006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9FA">
              <w:rPr>
                <w:rFonts w:ascii="Times New Roman" w:hAnsi="Times New Roman"/>
                <w:sz w:val="28"/>
                <w:szCs w:val="28"/>
              </w:rPr>
              <w:t>Неуверенные – это исполнительные сотрудники, но при этом они застенчивы, с трудом устанавливают отношения с новыми коллегами, часто сомневаются в правильности своих действий. Они нуждаются в помощи, поддержке и опеке.</w:t>
            </w:r>
          </w:p>
        </w:tc>
        <w:tc>
          <w:tcPr>
            <w:tcW w:w="4786" w:type="dxa"/>
          </w:tcPr>
          <w:p w:rsidR="00F7110A" w:rsidRPr="008F29FA" w:rsidRDefault="00F7110A" w:rsidP="0006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29FA">
              <w:rPr>
                <w:rFonts w:ascii="Times New Roman" w:hAnsi="Times New Roman"/>
                <w:sz w:val="28"/>
                <w:szCs w:val="28"/>
              </w:rPr>
              <w:t>Неуверенным</w:t>
            </w:r>
            <w:proofErr w:type="gramEnd"/>
            <w:r w:rsidRPr="008F29FA">
              <w:rPr>
                <w:rFonts w:ascii="Times New Roman" w:hAnsi="Times New Roman"/>
                <w:sz w:val="28"/>
                <w:szCs w:val="28"/>
              </w:rPr>
              <w:t xml:space="preserve"> нужно предоставить поддержку: отметить их заслуги, подчеркнуть ситуации, когда они самостоятельно и эффективно справились со сложными задачами, познакомить с коллегами, которые готовы оказывать помощь. Кроме </w:t>
            </w:r>
            <w:r w:rsidRPr="008F29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того, </w:t>
            </w:r>
            <w:proofErr w:type="gramStart"/>
            <w:r w:rsidRPr="008F29FA">
              <w:rPr>
                <w:rFonts w:ascii="Times New Roman" w:hAnsi="Times New Roman"/>
                <w:sz w:val="28"/>
                <w:szCs w:val="28"/>
              </w:rPr>
              <w:t>неуверенным</w:t>
            </w:r>
            <w:proofErr w:type="gramEnd"/>
            <w:r w:rsidRPr="008F29FA">
              <w:rPr>
                <w:rFonts w:ascii="Times New Roman" w:hAnsi="Times New Roman"/>
                <w:sz w:val="28"/>
                <w:szCs w:val="28"/>
              </w:rPr>
              <w:t xml:space="preserve"> важно показать, что они имеют право на ошибку.</w:t>
            </w:r>
          </w:p>
        </w:tc>
      </w:tr>
      <w:tr w:rsidR="00F7110A" w:rsidTr="00061D02">
        <w:tc>
          <w:tcPr>
            <w:tcW w:w="4784" w:type="dxa"/>
          </w:tcPr>
          <w:p w:rsidR="00F7110A" w:rsidRPr="008F29FA" w:rsidRDefault="00F7110A" w:rsidP="0006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9FA">
              <w:rPr>
                <w:rFonts w:ascii="Times New Roman" w:hAnsi="Times New Roman"/>
                <w:sz w:val="28"/>
                <w:szCs w:val="28"/>
              </w:rPr>
              <w:lastRenderedPageBreak/>
              <w:t>Пассивные обладают пониженной профессиональной мотивацией, не проявляют ни старательности, ни настойчивости, ни интереса. На новой работе, где требуются усилия для овладения навыками, их недостатки становятся особенно заметными.</w:t>
            </w:r>
          </w:p>
        </w:tc>
        <w:tc>
          <w:tcPr>
            <w:tcW w:w="4786" w:type="dxa"/>
          </w:tcPr>
          <w:p w:rsidR="00F7110A" w:rsidRPr="008F29FA" w:rsidRDefault="00F7110A" w:rsidP="0006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9FA">
              <w:rPr>
                <w:rFonts w:ascii="Times New Roman" w:hAnsi="Times New Roman"/>
                <w:sz w:val="28"/>
                <w:szCs w:val="28"/>
              </w:rPr>
              <w:t>Пассивные должны понимать, что отсутствие их реальных результатов будет замечено. Следует тщательно контролировать их работу, корректно обсуждая с ними ошибки и отмечая их достижения.</w:t>
            </w:r>
          </w:p>
        </w:tc>
      </w:tr>
    </w:tbl>
    <w:p w:rsidR="00436BD7" w:rsidRDefault="00436BD7"/>
    <w:p w:rsidR="00B55CF0" w:rsidRDefault="00B55CF0"/>
    <w:p w:rsidR="00B55CF0" w:rsidRDefault="00B55CF0"/>
    <w:p w:rsidR="00B55CF0" w:rsidRDefault="00B55CF0"/>
    <w:p w:rsidR="00B55CF0" w:rsidRDefault="00B55CF0"/>
    <w:p w:rsidR="00B55CF0" w:rsidRDefault="00B55CF0"/>
    <w:p w:rsidR="00B55CF0" w:rsidRDefault="00B55CF0"/>
    <w:p w:rsidR="00B55CF0" w:rsidRDefault="00B55CF0"/>
    <w:p w:rsidR="00B55CF0" w:rsidRDefault="00B55CF0"/>
    <w:p w:rsidR="00B55CF0" w:rsidRDefault="00B55CF0"/>
    <w:p w:rsidR="00B55CF0" w:rsidRDefault="00B55CF0"/>
    <w:p w:rsidR="00B55CF0" w:rsidRDefault="00B55CF0"/>
    <w:p w:rsidR="00B55CF0" w:rsidRDefault="00B55CF0"/>
    <w:p w:rsidR="00B55CF0" w:rsidRDefault="00B55CF0"/>
    <w:p w:rsidR="00B55CF0" w:rsidRDefault="00B55CF0"/>
    <w:p w:rsidR="00B55CF0" w:rsidRDefault="00B55CF0"/>
    <w:p w:rsidR="00B55CF0" w:rsidRDefault="00B55CF0"/>
    <w:p w:rsidR="00B55CF0" w:rsidRDefault="00B55CF0"/>
    <w:p w:rsidR="00B55CF0" w:rsidRDefault="00B55CF0"/>
    <w:p w:rsidR="00B55CF0" w:rsidRDefault="00B55CF0"/>
    <w:p w:rsidR="00B55CF0" w:rsidRDefault="00B55CF0" w:rsidP="00B55CF0">
      <w:pPr>
        <w:pStyle w:val="a6"/>
        <w:jc w:val="center"/>
        <w:rPr>
          <w:sz w:val="20"/>
          <w:szCs w:val="20"/>
        </w:rPr>
      </w:pPr>
    </w:p>
    <w:p w:rsidR="00B55CF0" w:rsidRDefault="00B55CF0" w:rsidP="00B55CF0">
      <w:pPr>
        <w:pStyle w:val="a6"/>
        <w:jc w:val="center"/>
        <w:rPr>
          <w:sz w:val="20"/>
          <w:szCs w:val="20"/>
        </w:rPr>
      </w:pPr>
    </w:p>
    <w:p w:rsidR="00B55CF0" w:rsidRPr="00B55CF0" w:rsidRDefault="00B55CF0" w:rsidP="00B55CF0">
      <w:pPr>
        <w:pStyle w:val="a6"/>
        <w:jc w:val="center"/>
        <w:rPr>
          <w:sz w:val="20"/>
          <w:szCs w:val="20"/>
        </w:rPr>
      </w:pPr>
      <w:r w:rsidRPr="00D81A26">
        <w:rPr>
          <w:sz w:val="20"/>
          <w:szCs w:val="20"/>
        </w:rPr>
        <w:t xml:space="preserve">Разработано по материалам </w:t>
      </w:r>
      <w:r>
        <w:rPr>
          <w:sz w:val="20"/>
          <w:szCs w:val="20"/>
        </w:rPr>
        <w:t>М</w:t>
      </w:r>
      <w:r w:rsidRPr="00D81A26">
        <w:rPr>
          <w:sz w:val="20"/>
          <w:szCs w:val="20"/>
        </w:rPr>
        <w:t>етодического инструментария по осуществлению наставничества на государственной гражданской службе (версия 2.0) Министерства труда и социальной защиты РФ</w:t>
      </w:r>
    </w:p>
    <w:sectPr w:rsidR="00B55CF0" w:rsidRPr="00B55CF0" w:rsidSect="0043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10A" w:rsidRDefault="00F7110A" w:rsidP="00F7110A">
      <w:pPr>
        <w:spacing w:after="0" w:line="240" w:lineRule="auto"/>
      </w:pPr>
      <w:r>
        <w:separator/>
      </w:r>
    </w:p>
  </w:endnote>
  <w:endnote w:type="continuationSeparator" w:id="1">
    <w:p w:rsidR="00F7110A" w:rsidRDefault="00F7110A" w:rsidP="00F7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10A" w:rsidRDefault="00F7110A" w:rsidP="00F7110A">
      <w:pPr>
        <w:spacing w:after="0" w:line="240" w:lineRule="auto"/>
      </w:pPr>
      <w:r>
        <w:separator/>
      </w:r>
    </w:p>
  </w:footnote>
  <w:footnote w:type="continuationSeparator" w:id="1">
    <w:p w:rsidR="00F7110A" w:rsidRDefault="00F7110A" w:rsidP="00F7110A">
      <w:pPr>
        <w:spacing w:after="0" w:line="240" w:lineRule="auto"/>
      </w:pPr>
      <w:r>
        <w:continuationSeparator/>
      </w:r>
    </w:p>
  </w:footnote>
  <w:footnote w:id="2">
    <w:p w:rsidR="00F7110A" w:rsidRPr="00B907B2" w:rsidRDefault="00F7110A" w:rsidP="00F7110A">
      <w:pPr>
        <w:pStyle w:val="a3"/>
        <w:spacing w:after="0"/>
        <w:rPr>
          <w:rFonts w:ascii="Times New Roman" w:hAnsi="Times New Roman" w:cs="Times New Roman"/>
        </w:rPr>
      </w:pPr>
      <w:r w:rsidRPr="00B907B2">
        <w:rPr>
          <w:rStyle w:val="a5"/>
          <w:rFonts w:ascii="Times New Roman" w:hAnsi="Times New Roman" w:cs="Times New Roman"/>
        </w:rPr>
        <w:footnoteRef/>
      </w:r>
      <w:r w:rsidRPr="00B907B2">
        <w:rPr>
          <w:rFonts w:ascii="Times New Roman" w:hAnsi="Times New Roman" w:cs="Times New Roman"/>
        </w:rPr>
        <w:t xml:space="preserve"> При разработке данного раздела использованы материалы методических рекомендаций, подготовленных Университетом Правительства Москвы. </w:t>
      </w:r>
      <w:proofErr w:type="spellStart"/>
      <w:r w:rsidRPr="00B907B2">
        <w:rPr>
          <w:rFonts w:ascii="Times New Roman" w:hAnsi="Times New Roman" w:cs="Times New Roman"/>
        </w:rPr>
        <w:t>Арсланьян</w:t>
      </w:r>
      <w:proofErr w:type="spellEnd"/>
      <w:r w:rsidRPr="00B907B2">
        <w:rPr>
          <w:rFonts w:ascii="Times New Roman" w:hAnsi="Times New Roman" w:cs="Times New Roman"/>
        </w:rPr>
        <w:t xml:space="preserve"> В.П., </w:t>
      </w:r>
      <w:proofErr w:type="spellStart"/>
      <w:r w:rsidRPr="00B907B2">
        <w:rPr>
          <w:rFonts w:ascii="Times New Roman" w:hAnsi="Times New Roman" w:cs="Times New Roman"/>
        </w:rPr>
        <w:t>Лузянина</w:t>
      </w:r>
      <w:proofErr w:type="spellEnd"/>
      <w:r w:rsidRPr="00B907B2">
        <w:rPr>
          <w:rFonts w:ascii="Times New Roman" w:hAnsi="Times New Roman" w:cs="Times New Roman"/>
        </w:rPr>
        <w:t xml:space="preserve"> М.С., </w:t>
      </w:r>
      <w:proofErr w:type="spellStart"/>
      <w:r w:rsidRPr="00B907B2">
        <w:rPr>
          <w:rFonts w:ascii="Times New Roman" w:hAnsi="Times New Roman" w:cs="Times New Roman"/>
        </w:rPr>
        <w:t>Мотовилина</w:t>
      </w:r>
      <w:proofErr w:type="spellEnd"/>
      <w:r w:rsidRPr="00B907B2">
        <w:rPr>
          <w:rFonts w:ascii="Times New Roman" w:hAnsi="Times New Roman" w:cs="Times New Roman"/>
        </w:rPr>
        <w:t xml:space="preserve"> И.А., Портнова Д.С. Наставничество. – Тамбов: ООО фирма «</w:t>
      </w:r>
      <w:proofErr w:type="spellStart"/>
      <w:r w:rsidRPr="00B907B2">
        <w:rPr>
          <w:rFonts w:ascii="Times New Roman" w:hAnsi="Times New Roman" w:cs="Times New Roman"/>
        </w:rPr>
        <w:t>Юлис</w:t>
      </w:r>
      <w:proofErr w:type="spellEnd"/>
      <w:r w:rsidRPr="00B907B2">
        <w:rPr>
          <w:rFonts w:ascii="Times New Roman" w:hAnsi="Times New Roman" w:cs="Times New Roman"/>
        </w:rPr>
        <w:t>», 2018. – с. 65-67.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110A"/>
    <w:rsid w:val="00436BD7"/>
    <w:rsid w:val="00B55CF0"/>
    <w:rsid w:val="00F7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7110A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F7110A"/>
    <w:rPr>
      <w:rFonts w:ascii="Calibri" w:eastAsia="Times New Roman" w:hAnsi="Calibri" w:cs="Calibri"/>
      <w:sz w:val="20"/>
      <w:szCs w:val="20"/>
      <w:lang w:eastAsia="en-US"/>
    </w:rPr>
  </w:style>
  <w:style w:type="character" w:styleId="a5">
    <w:name w:val="footnote reference"/>
    <w:semiHidden/>
    <w:rsid w:val="00F7110A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B55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2020-05-29T12:53:00Z</dcterms:created>
  <dcterms:modified xsi:type="dcterms:W3CDTF">2020-06-02T07:14:00Z</dcterms:modified>
</cp:coreProperties>
</file>